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A8" w:rsidRPr="00246098" w:rsidRDefault="007842A8" w:rsidP="007842A8">
      <w:pPr>
        <w:pStyle w:val="a3"/>
        <w:shd w:val="clear" w:color="auto" w:fill="FFFFFF"/>
        <w:spacing w:line="440" w:lineRule="atLeast"/>
        <w:rPr>
          <w:rFonts w:ascii="方正小标宋简体" w:eastAsia="方正小标宋简体" w:hAnsi="Calibri"/>
          <w:color w:val="333333"/>
          <w:sz w:val="32"/>
          <w:szCs w:val="32"/>
        </w:rPr>
      </w:pPr>
      <w:r w:rsidRPr="00246098">
        <w:rPr>
          <w:rFonts w:ascii="方正小标宋简体" w:eastAsia="方正小标宋简体" w:hAnsi="Calibri" w:hint="eastAsia"/>
          <w:color w:val="333333"/>
          <w:sz w:val="32"/>
          <w:szCs w:val="32"/>
        </w:rPr>
        <w:t>附件1：</w:t>
      </w:r>
    </w:p>
    <w:p w:rsidR="007842A8" w:rsidRPr="00246098" w:rsidRDefault="007842A8" w:rsidP="007842A8">
      <w:pPr>
        <w:pStyle w:val="a3"/>
        <w:shd w:val="clear" w:color="auto" w:fill="FFFFFF"/>
        <w:spacing w:line="440" w:lineRule="atLeast"/>
        <w:jc w:val="center"/>
        <w:rPr>
          <w:rFonts w:ascii="方正小标宋简体" w:eastAsia="方正小标宋简体" w:hAnsi="Calibri"/>
          <w:color w:val="333333"/>
          <w:sz w:val="32"/>
          <w:szCs w:val="32"/>
        </w:rPr>
      </w:pPr>
      <w:r w:rsidRPr="00246098">
        <w:rPr>
          <w:rFonts w:ascii="方正小标宋简体" w:eastAsia="方正小标宋简体" w:hAnsi="Calibri" w:hint="eastAsia"/>
          <w:color w:val="333333"/>
          <w:sz w:val="32"/>
          <w:szCs w:val="32"/>
        </w:rPr>
        <w:t>河北省高校党建研究会2022年度课题指南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1.习近平新时代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中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国特色社会主义思想指导高校党建工作研究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2.高校党的建设科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学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化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、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制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度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化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、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规范化实践与经验研究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3.高校思想政治教育和意识形态工作研究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4.深化高校党史学习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教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育、“四史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”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教育研究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5.推进高校党的建设制度改革研究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6.高校党建工作创新与品牌建设研究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7.新时代高校基层党建工作质量提升研究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8.高校智慧党建创新模式与实践路径研究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9.高校党管人才工作机制与制度研究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10.高校党员干部教育创新模式研究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11.高校党内监督机制研究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12.高校“思政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课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程”“课程</w:t>
      </w:r>
      <w:r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思</w:t>
      </w: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政”创新实践研究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13.高校党建工作推动高校高质量发展研究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14.民办高校发挥党组织政治功能研究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15.新时代民办高校德育工作研究</w:t>
      </w:r>
    </w:p>
    <w:p w:rsidR="007842A8" w:rsidRPr="00864FB4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00"/>
        <w:jc w:val="both"/>
        <w:rPr>
          <w:rFonts w:ascii="仿宋_GB2312" w:eastAsia="仿宋_GB2312" w:hAnsi="微软雅黑"/>
          <w:color w:val="333333"/>
          <w:spacing w:val="-20"/>
          <w:sz w:val="29"/>
          <w:szCs w:val="29"/>
        </w:rPr>
      </w:pPr>
      <w:r w:rsidRPr="00864FB4">
        <w:rPr>
          <w:rFonts w:ascii="仿宋_GB2312" w:eastAsia="仿宋_GB2312" w:hAnsi="微软雅黑" w:hint="eastAsia"/>
          <w:color w:val="333333"/>
          <w:spacing w:val="-20"/>
          <w:sz w:val="29"/>
          <w:szCs w:val="29"/>
        </w:rPr>
        <w:t>16.其他</w:t>
      </w:r>
    </w:p>
    <w:p w:rsidR="007842A8" w:rsidRPr="002B4CBA" w:rsidRDefault="007842A8" w:rsidP="007842A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580"/>
        <w:jc w:val="both"/>
        <w:rPr>
          <w:rFonts w:ascii="仿宋_GB2312" w:eastAsia="仿宋_GB2312" w:hAnsi="微软雅黑"/>
          <w:color w:val="333333"/>
          <w:sz w:val="29"/>
          <w:szCs w:val="29"/>
        </w:rPr>
      </w:pPr>
    </w:p>
    <w:p w:rsidR="00B71B18" w:rsidRDefault="00B71B18"/>
    <w:sectPr w:rsidR="00B71B18" w:rsidSect="00B71B1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1288"/>
      <w:docPartObj>
        <w:docPartGallery w:val="Page Numbers (Bottom of Page)"/>
        <w:docPartUnique/>
      </w:docPartObj>
    </w:sdtPr>
    <w:sdtEndPr/>
    <w:sdtContent>
      <w:p w:rsidR="002B4CBA" w:rsidRDefault="007842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842A8">
          <w:rPr>
            <w:noProof/>
            <w:lang w:val="zh-CN"/>
          </w:rPr>
          <w:t>1</w:t>
        </w:r>
        <w:r>
          <w:fldChar w:fldCharType="end"/>
        </w:r>
      </w:p>
    </w:sdtContent>
  </w:sdt>
  <w:p w:rsidR="002B4CBA" w:rsidRDefault="007842A8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42A8"/>
    <w:rsid w:val="007842A8"/>
    <w:rsid w:val="00B7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784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84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2022-01-11T03:29:00Z</dcterms:created>
  <dcterms:modified xsi:type="dcterms:W3CDTF">2022-01-11T03:29:00Z</dcterms:modified>
</cp:coreProperties>
</file>